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3" w:after="0"/>
        <w:ind w:left="200" w:hanging="0"/>
        <w:jc w:val="center"/>
        <w:rPr>
          <w:rFonts w:ascii="Calibri" w:hAnsi="Calibri" w:cs="Calibri" w:asciiTheme="minorHAnsi" w:cstheme="minorHAnsi" w:hAnsiTheme="minorHAnsi"/>
          <w:b/>
          <w:sz w:val="40"/>
          <w:szCs w:val="40"/>
          <w:lang w:val="en-GB"/>
        </w:rPr>
      </w:pPr>
      <w:r>
        <w:rPr>
          <w:rFonts w:cs="Calibri" w:ascii="Calibri" w:hAnsi="Calibri" w:asciiTheme="minorHAnsi" w:cstheme="minorHAnsi" w:hAnsiTheme="minorHAnsi"/>
          <w:b/>
          <w:sz w:val="40"/>
          <w:szCs w:val="40"/>
          <w:lang w:val="en-GB"/>
        </w:rPr>
        <w:t>Data Protection Act 2018 Policy</w:t>
      </w:r>
    </w:p>
    <w:p>
      <w:pPr>
        <w:pStyle w:val="TextBody"/>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TextBody"/>
        <w:spacing w:before="10" w:after="0"/>
        <w:rPr>
          <w:rFonts w:ascii="Calibri" w:hAnsi="Calibri" w:cs="Calibri" w:asciiTheme="minorHAnsi" w:cstheme="minorHAnsi" w:hAnsiTheme="minorHAnsi"/>
          <w:b/>
          <w:sz w:val="24"/>
          <w:szCs w:val="24"/>
          <w:lang w:val="en-GB"/>
        </w:rPr>
      </w:pPr>
      <w:r>
        <w:rPr>
          <w:rFonts w:cs="Calibri" w:cstheme="minorHAnsi" w:ascii="Calibri" w:hAnsi="Calibri"/>
          <w:b/>
          <w:sz w:val="24"/>
          <w:szCs w:val="24"/>
          <w:lang w:val="en-GB"/>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Introduction</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sets out the obligations of </w:t>
      </w:r>
      <w:r>
        <w:rPr>
          <w:rFonts w:cs="Calibri" w:ascii="Calibri" w:hAnsi="Calibri" w:asciiTheme="minorHAnsi" w:cstheme="minorHAnsi" w:hAnsiTheme="minorHAnsi"/>
          <w:sz w:val="24"/>
          <w:szCs w:val="24"/>
          <w:highlight w:val="yellow"/>
        </w:rPr>
        <w:t>Untamed Kingdom Learning Center</w:t>
      </w:r>
      <w:r>
        <w:rPr>
          <w:rFonts w:cs="Calibri" w:ascii="Calibri" w:hAnsi="Calibri" w:asciiTheme="minorHAnsi" w:cstheme="minorHAnsi" w:hAnsiTheme="minorHAnsi"/>
          <w:sz w:val="24"/>
          <w:szCs w:val="24"/>
        </w:rPr>
        <w:t xml:space="preserve">,(“the Company”) regarding data protection and the rights of customers and business contacts (“data subjects”) in respect of their personal data under Data Protection Act 2018 (Formally EU Regulation 2016/679 General Data Protection Regulation (“GDPR”)).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Data Protection Principles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aims to ensure compliance with the Data Protection Act 2018. The Data Protection Act 2018 sets out the following principles with which any party handling personal data must comply. All personal data must be:</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lawfully, fairly, and in a transparent manner in relation to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Adequate, relevant, and limited to what is necessary in relation to the purposes for which it is processed.</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Accurate and, where necessary, kept up to date. Every reasonable step must be taken to ensure that personal data that is inaccurate, having regard to the purposes for which it is processed, is erased, or rectified without delay.</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Data Protection Act 2018 in order to safeguard the rights and freedoms of the data subject.</w:t>
      </w:r>
    </w:p>
    <w:p>
      <w:pPr>
        <w:pStyle w:val="ListParagraph"/>
        <w:widowControl/>
        <w:numPr>
          <w:ilvl w:val="0"/>
          <w:numId w:val="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The Rights of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sets out the following rights applicable to data subjects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be informed’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of access,</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rectification,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erasure (also known as the ‘right to be forgotten’),</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restrict processing,</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data portability,</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right to object; and</w:t>
      </w:r>
    </w:p>
    <w:p>
      <w:pPr>
        <w:pStyle w:val="ListParagraph"/>
        <w:widowControl/>
        <w:numPr>
          <w:ilvl w:val="0"/>
          <w:numId w:val="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Rights with respect to automated decision-making and profiling.</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Lawful, Fair, and Transparent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Act 2018 seeks to ensure that personal data is processed lawfully, fairly, and transparently, without adversely affecting the rights of the data subject. The Data Protection Act 2018 states that processing of personal data shall be lawful if at least one of the following applies: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consent to the processing of their personal data for one or more specific purposes;</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contract to which the data subject is a party, or in order to take steps at the request of the data subject prior to entering into a contract with them;</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compliance with a legal obligation to which the data controller is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performance of a task carried out in the public interest or in the exercise of official authority vested in the data controller; or</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the personal data in question is “special category data” (also known as “sensitive personal data”) (for example, data concerning the data subject’s health), at least one of the following conditions must be met: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subject has given their explicit consent to the processing of such data for one or more specified purposes (unless EU or EU Member State law prohibits them from doing so);</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to protect the vital interests of the data subject or of another natural person where the data subject is physically or legally incapable of giving consent;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relates to personal data which is clearly made public by the data subject;</w:t>
      </w:r>
    </w:p>
    <w:p>
      <w:pPr>
        <w:pStyle w:val="ListParagraph"/>
        <w:widowControl/>
        <w:numPr>
          <w:ilvl w:val="0"/>
          <w:numId w:val="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processing is necessary for the conduct of legal claims or whenever courts are acting in their judicial capacity;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Specified, Explicit, and Legitimate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collects and processes the personal data set out in this Policy.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includes:</w:t>
      </w:r>
    </w:p>
    <w:p>
      <w:pPr>
        <w:pStyle w:val="ListParagraph"/>
        <w:widowControl/>
        <w:numPr>
          <w:ilvl w:val="0"/>
          <w:numId w:val="4"/>
        </w:numPr>
        <w:spacing w:before="0" w:after="0"/>
        <w:contextualSpacing/>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 xml:space="preserve">Personal data collected directly from data subjects </w:t>
      </w:r>
      <w:r>
        <w:rPr>
          <w:rFonts w:cs="Calibri" w:ascii="Calibri" w:hAnsi="Calibri" w:asciiTheme="minorHAnsi" w:cstheme="minorHAnsi" w:hAnsiTheme="minorHAnsi"/>
          <w:b/>
          <w:bCs/>
          <w:sz w:val="24"/>
          <w:szCs w:val="24"/>
        </w:rPr>
        <w:t>OR</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obtained from third parties.</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only collects, processes, and holds personal data for the specific purposes set out in this Policy (or for other purposes expressly permitted by the Data Protection Act 2018).</w:t>
      </w:r>
    </w:p>
    <w:p>
      <w:pPr>
        <w:pStyle w:val="ListParagraph"/>
        <w:widowControl/>
        <w:numPr>
          <w:ilvl w:val="0"/>
          <w:numId w:val="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are kept informed at all times of the purpose or purposes for which the Company uses their personal data.</w:t>
      </w:r>
    </w:p>
    <w:p>
      <w:pPr>
        <w:pStyle w:val="ListParagraph"/>
        <w:widowControl/>
        <w:spacing w:before="0" w:after="0"/>
        <w:ind w:left="720" w:hanging="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Adequate, Relevant, and Limited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will only collect and process personal data for and to the extent necessary for the specific purpose or purposes of which data subjects have been informed (or will be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Accuracy of Data and Keeping Data Up-to-Date</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processed, and held by it is kept accurate and up-to-date. This includes, but is not limited to, the rectification of personal data at the request of a data subject.</w:t>
      </w:r>
    </w:p>
    <w:p>
      <w:pPr>
        <w:pStyle w:val="ListParagraph"/>
        <w:widowControl/>
        <w:numPr>
          <w:ilvl w:val="0"/>
          <w:numId w:val="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accuracy of personal data shall be checked when it is collected and at regular intervals thereafter. If any personal data is found to be inaccurate or out-of-date, all reasonable steps will be taken without delay to amend or erase that data, as appropriate.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Retention</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not keep personal data for any longer than is necessary in light of the purpose or purposes for which that personal data was originally collected, held, and processed.</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personal data is no longer required, all reasonable steps will be taken to erase or otherwise dispose of it without delay.</w:t>
      </w:r>
    </w:p>
    <w:p>
      <w:pPr>
        <w:pStyle w:val="ListParagraph"/>
        <w:widowControl/>
        <w:numPr>
          <w:ilvl w:val="0"/>
          <w:numId w:val="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full details of the Company’s approach to data retention, including retention periods for specific personal data types held by the Company, please refer to our Data Retention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Secure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provided later in this Policy.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Accountability and Record-Keeping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Company’s Data Protection Officer is </w:t>
      </w:r>
      <w:r>
        <w:rPr>
          <w:rFonts w:cs="Calibri" w:ascii="Calibri" w:hAnsi="Calibri" w:asciiTheme="minorHAnsi" w:cstheme="minorHAnsi" w:hAnsiTheme="minorHAnsi"/>
          <w:sz w:val="24"/>
          <w:szCs w:val="24"/>
          <w:highlight w:val="yellow"/>
        </w:rPr>
        <w:t>Don E. Holmes III</w:t>
      </w:r>
      <w:r>
        <w:rPr>
          <w:rFonts w:cs="Calibri" w:ascii="Calibri" w:hAnsi="Calibri" w:asciiTheme="minorHAnsi" w:cstheme="minorHAnsi" w:hAnsiTheme="minorHAnsi"/>
          <w:sz w:val="24"/>
          <w:szCs w:val="24"/>
        </w:rPr>
        <w:t xml:space="preserve">,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E-Mail: </w:t>
      </w:r>
      <w:r>
        <w:rPr>
          <w:rFonts w:cs="Calibri" w:ascii="Calibri" w:hAnsi="Calibri" w:asciiTheme="minorHAnsi" w:cstheme="minorHAnsi" w:hAnsiTheme="minorHAnsi"/>
          <w:sz w:val="24"/>
          <w:szCs w:val="24"/>
          <w:highlight w:val="yellow"/>
        </w:rPr>
        <w:t>support@</w:t>
      </w:r>
      <w:r>
        <w:rPr>
          <w:rFonts w:cs="Calibri" w:ascii="Calibri" w:hAnsi="Calibri" w:asciiTheme="minorHAnsi" w:cstheme="minorHAnsi" w:hAnsiTheme="minorHAnsi"/>
          <w:sz w:val="24"/>
          <w:szCs w:val="24"/>
          <w:highlight w:val="yellow"/>
        </w:rPr>
        <w:t>untamedkingdom</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highlight w:val="yellow"/>
        </w:rPr>
        <w:t>org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Tel: </w:t>
      </w:r>
      <w:r>
        <w:rPr>
          <w:rFonts w:cs="Calibri" w:ascii="Calibri" w:hAnsi="Calibri" w:asciiTheme="minorHAnsi" w:cstheme="minorHAnsi" w:hAnsiTheme="minorHAnsi"/>
          <w:sz w:val="24"/>
          <w:szCs w:val="24"/>
          <w:highlight w:val="yellow"/>
        </w:rPr>
        <w:t>661-800-3769</w:t>
      </w:r>
      <w:r>
        <w:rPr>
          <w:rFonts w:cs="Calibri" w:ascii="Calibri" w:hAnsi="Calibri" w:asciiTheme="minorHAnsi" w:cstheme="minorHAnsi" w:hAnsiTheme="minorHAnsi"/>
          <w:sz w:val="24"/>
          <w:szCs w:val="24"/>
        </w:rPr>
        <w: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Data Protection Officer shall be responsible for overseeing the implementation of this Policy and for monitoring compliance with this Policy, the Company’s other data protection-related policies, and with the Data Protection Act 2018 and other applicable data protection legislation.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keep written internal records of all personal data collection, holding, and processing, which shall incorporate the following information:</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details of the Company, its Data Protection Officer, and any applicable third-party data processors;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Company collects, holds, and processes personal data;</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categories of personal data collected, held, and processed by the Company, and the categories of data subject to which that personal data relates;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transfers of personal data to non-EEA countries including all mechanisms and security safeguards;</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how long personal data will be retained by the Company; and</w:t>
      </w:r>
    </w:p>
    <w:p>
      <w:pPr>
        <w:pStyle w:val="ListParagraph"/>
        <w:widowControl/>
        <w:numPr>
          <w:ilvl w:val="0"/>
          <w:numId w:val="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Detailed descriptions of all technical and organisational measures taken by the Company to ensure the security of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Protection Impact Assessments</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carry out Data Protection Impact Assessments for any and all new projects and/or new uses of personal data.</w:t>
      </w:r>
    </w:p>
    <w:p>
      <w:pPr>
        <w:pStyle w:val="ListParagraph"/>
        <w:widowControl/>
        <w:numPr>
          <w:ilvl w:val="0"/>
          <w:numId w:val="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Protection Impact Assessments shall be overseen by the Data Protection Officer and shall address the following:</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type(s) of personal data that will be collected, held, and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Company’s objectives;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How personal data is to be used;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parties (internal and/or external) who are to be consulted;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necessity and proportionality of the data processing with respect to the</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purpose(s) for which it is being processed;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to data subjects;</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Risks posed both within and to the Company; and</w:t>
      </w:r>
    </w:p>
    <w:p>
      <w:pPr>
        <w:pStyle w:val="ListParagraph"/>
        <w:widowControl/>
        <w:numPr>
          <w:ilvl w:val="0"/>
          <w:numId w:val="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Proposed measures to minimize and handle identified risks.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Keeping Data Subjects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provide the information set out in section (i) below to every data subject:</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collected directly from data subjects, those data subjects will be informed of its purpose at the time of collection; and where personal data is obtained from a third party, the relevant data subjects will be informed of its purpose: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if the personal data is used to communicate with the data subject, when the first communication is 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if the personal data is to be transferred to another party, before that transfer is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made; or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as soon as reasonably possible and in any event not more than one month after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personal data is obtained.</w:t>
      </w:r>
    </w:p>
    <w:p>
      <w:pPr>
        <w:pStyle w:val="ListParagraph"/>
        <w:widowControl/>
        <w:numPr>
          <w:ilvl w:val="0"/>
          <w:numId w:val="1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information shall be provided:</w:t>
      </w:r>
    </w:p>
    <w:p>
      <w:pPr>
        <w:pStyle w:val="ListParagraph"/>
        <w:ind w:left="144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Company including, but not limited to, the identity of its Data Protection Officer;</w:t>
      </w:r>
    </w:p>
    <w:p>
      <w:pPr>
        <w:pStyle w:val="ListParagraph"/>
        <w:widowControl/>
        <w:numPr>
          <w:ilvl w:val="0"/>
          <w:numId w:val="1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purpose(s) for which the personal data is being collected and will be processed (as detailed in this Policy) and the legal basis justifying that collection and processing;</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the legitimate interests upon which the Company is justifying its collection and processing of the personal data;</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not obtained directly from the data subject, the categories of personal data collected and processed;</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one or more third parties, details of those parties;</w:t>
      </w:r>
    </w:p>
    <w:p>
      <w:pPr>
        <w:pStyle w:val="ListParagraph"/>
        <w:widowControl/>
        <w:numPr>
          <w:ilvl w:val="0"/>
          <w:numId w:val="1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the personal data is to be transferred to a third party that is located outside of the European Economic Area (the “EEA”), details of that transfer, including but not limited to the safeguards in place,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data retention;</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rights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withdraw their consent to the Company’s processing of their personal data at any time;</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data subject’s right to complain to the Information Commissioner’s Office (the “supervisory authority” under the Data Protection Act 2018);</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applicable, details of any legal or contractual requirement or obligation necessitating the collection and processing of the personal data and details of any consequences of failing to provide it; and</w:t>
      </w:r>
    </w:p>
    <w:p>
      <w:pPr>
        <w:pStyle w:val="ListParagraph"/>
        <w:widowControl/>
        <w:numPr>
          <w:ilvl w:val="0"/>
          <w:numId w:val="1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any automated decision-making or profiling that will take place using the personal data, including information on how decisions will be made, the significance of those decisions, and any consequences.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Subject Access</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make subject access requests (“SARs”) at any time to find out more about the personal data which the Company holds about them, what it is doing with that personal data, and why.</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Data subjects wishing to make a SAR may do so in writing, using the Company’s Subject Access Request Form, or other written communication. SARs should be addressed to the Company’s Data Protection Officer at </w:t>
      </w:r>
      <w:r>
        <w:rPr>
          <w:rFonts w:cs="Calibri" w:ascii="Calibri" w:hAnsi="Calibri" w:asciiTheme="minorHAnsi" w:cstheme="minorHAnsi" w:hAnsiTheme="minorHAnsi"/>
          <w:sz w:val="24"/>
          <w:szCs w:val="24"/>
          <w:highlight w:val="yellow"/>
        </w:rPr>
        <w:t>Untamed Kingdom Learning Center</w:t>
      </w:r>
      <w:r>
        <w:rPr>
          <w:rFonts w:cs="Calibri" w:ascii="Calibri" w:hAnsi="Calibri" w:asciiTheme="minorHAnsi" w:cstheme="minorHAnsi" w:hAnsiTheme="minorHAnsi"/>
          <w:sz w:val="24"/>
          <w:szCs w:val="24"/>
        </w:rPr>
        <w:t>., 5501 Stockdale HWY #9442 Bakersfield, CA 93389 Tel: 661-800-3769 Email:</w:t>
      </w:r>
      <w:r>
        <w:rPr>
          <w:rFonts w:cs="Calibri" w:ascii="Calibri" w:hAnsi="Calibri" w:asciiTheme="minorHAnsi" w:cstheme="minorHAnsi" w:hAnsiTheme="minorHAnsi"/>
          <w:sz w:val="24"/>
          <w:szCs w:val="24"/>
          <w:highlight w:val="yellow"/>
        </w:rPr>
        <w:t>support@</w:t>
      </w:r>
      <w:r>
        <w:rPr>
          <w:rFonts w:cs="Calibri" w:ascii="Calibri" w:hAnsi="Calibri" w:asciiTheme="minorHAnsi" w:cstheme="minorHAnsi" w:hAnsiTheme="minorHAnsi"/>
          <w:sz w:val="24"/>
          <w:szCs w:val="24"/>
          <w:highlight w:val="yellow"/>
        </w:rPr>
        <w:t>untamedkingdom</w:t>
      </w:r>
      <w:r>
        <w:rPr>
          <w:rFonts w:cs="Calibri" w:ascii="Calibri" w:hAnsi="Calibri" w:asciiTheme="minorHAnsi" w:cstheme="minorHAnsi" w:hAnsiTheme="minorHAnsi"/>
          <w:sz w:val="24"/>
          <w:szCs w:val="24"/>
          <w:highlight w:val="yellow"/>
        </w:rPr>
        <w:t>.</w:t>
      </w:r>
      <w:r>
        <w:rPr>
          <w:rFonts w:cs="Calibri" w:ascii="Calibri" w:hAnsi="Calibri" w:asciiTheme="minorHAnsi" w:cstheme="minorHAnsi" w:hAnsiTheme="minorHAnsi"/>
          <w:sz w:val="24"/>
          <w:szCs w:val="24"/>
          <w:highlight w:val="yellow"/>
        </w:rPr>
        <w:t>org</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SARs received shall be handled by the Company’s Data Protection Officer.</w:t>
      </w:r>
    </w:p>
    <w:p>
      <w:pPr>
        <w:pStyle w:val="ListParagraph"/>
        <w:widowControl/>
        <w:numPr>
          <w:ilvl w:val="0"/>
          <w:numId w:val="14"/>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pPr>
        <w:pStyle w:val="ListParagraph"/>
        <w:widowControl/>
        <w:spacing w:before="0" w:after="0"/>
        <w:ind w:left="720" w:hanging="0"/>
        <w:contextualSpacing/>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Rectification of Personal Data</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require the Company to rectify any of their personal data that is inaccurate or incomplete.</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pPr>
        <w:pStyle w:val="ListParagraph"/>
        <w:widowControl/>
        <w:numPr>
          <w:ilvl w:val="0"/>
          <w:numId w:val="15"/>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any rectification that must be made to that personal data.</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Erasure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request that the Company erases the personal data it holds about them in the following circumstances:</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It is no longer necessary for the Company to hold that personal data with respect to the purpose(s) for which it was originally collected or processed;</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b) The data subject wishes to withdraw their consent to the Company holding and processing their personal data;</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 The data subject objects to the Company holding and processing their personal data (and there is no overriding legitimate interest to allow the Company to continue doing so),</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 The personal data has been processed unlawfully;</w:t>
      </w:r>
    </w:p>
    <w:p>
      <w:pPr>
        <w:pStyle w:val="Normal"/>
        <w:ind w:left="7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 The personal data needs to be erased in order for the Company to comply with</w:t>
      </w:r>
    </w:p>
    <w:p>
      <w:pPr>
        <w:pStyle w:val="Normal"/>
        <w:ind w:left="720" w:hanging="0"/>
        <w:rPr>
          <w:rFonts w:ascii="Calibri" w:hAnsi="Calibri" w:cs="Calibri" w:asciiTheme="minorHAnsi" w:cstheme="minorHAnsi" w:hAnsiTheme="minorHAnsi"/>
          <w:b/>
          <w:bCs/>
          <w:sz w:val="24"/>
          <w:szCs w:val="24"/>
        </w:rPr>
      </w:pPr>
      <w:r>
        <w:rPr>
          <w:rFonts w:cs="Calibri" w:ascii="Calibri" w:hAnsi="Calibri" w:asciiTheme="minorHAnsi" w:cstheme="minorHAnsi" w:hAnsiTheme="minorHAnsi"/>
          <w:sz w:val="24"/>
          <w:szCs w:val="24"/>
        </w:rPr>
        <w:t>a particular legal obligation</w:t>
      </w:r>
      <w:r>
        <w:rPr>
          <w:rFonts w:cs="Calibri" w:ascii="Calibri" w:hAnsi="Calibri" w:asciiTheme="minorHAnsi" w:cstheme="minorHAnsi" w:hAnsiTheme="minorHAnsi"/>
          <w:b/>
          <w:bCs/>
          <w:sz w:val="24"/>
          <w:szCs w:val="24"/>
        </w:rPr>
        <w:t>.</w:t>
      </w:r>
    </w:p>
    <w:p>
      <w:pPr>
        <w:pStyle w:val="Normal"/>
        <w:ind w:left="720" w:hanging="0"/>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Restriction of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any affected personal data has been disclosed to third parties, those parties shall be informed of the applicable restrictions on processing it (unless it is impossible or would require disproportionate effort to do so).</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Objections to Personal Data Processing</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subjects have the right to object to the Company processing their personal data based on legitimate interests, direct marketing (including profiling) and processing for scientific and/or historical research and statistics purposes.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direct marketing purposes, the Company shall cease such processing immediately.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 data subject objects to the Company processing their personal data for scientific and/or historical research and statistics purposes, the data subject must, under the Data Protection Act 2018, “demonstrate grounds relating to his or her particular situation”. The Company is not required to comply if the research is necessary for the performance of a task carried out for reasons of public interest.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Personal Data Collected, Held, and Processed</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following personal data is collected, held, and processed by the Company:</w:t>
      </w:r>
    </w:p>
    <w:p>
      <w:pPr>
        <w:pStyle w:val="Normal"/>
        <w:rPr>
          <w:rFonts w:ascii="Calibri" w:hAnsi="Calibri" w:cs="Calibri" w:asciiTheme="minorHAnsi" w:cstheme="minorHAnsi" w:hAnsiTheme="minorHAnsi"/>
          <w:b/>
          <w:bCs/>
          <w:sz w:val="24"/>
          <w:szCs w:val="24"/>
          <w:highlight w:val="yellow"/>
        </w:rPr>
      </w:pPr>
      <w:r>
        <w:rPr>
          <w:rFonts w:cs="Calibri" w:ascii="Calibri" w:hAnsi="Calibri" w:asciiTheme="minorHAnsi" w:cstheme="minorHAnsi" w:hAnsiTheme="minorHAnsi"/>
          <w:b/>
          <w:bCs/>
          <w:sz w:val="24"/>
          <w:szCs w:val="24"/>
          <w:highlight w:val="yellow"/>
        </w:rPr>
        <w:t>Data Ref. Type of Data Purpose of Data Electronic and hard copy Learner records</w:t>
      </w:r>
    </w:p>
    <w:p>
      <w:pPr>
        <w:pStyle w:val="Normal"/>
        <w:rPr>
          <w:rFonts w:ascii="Calibri" w:hAnsi="Calibri" w:cs="Calibri" w:asciiTheme="minorHAnsi" w:cstheme="minorHAnsi" w:hAnsiTheme="minorHAnsi"/>
          <w:bCs/>
          <w:sz w:val="24"/>
          <w:szCs w:val="24"/>
        </w:rPr>
      </w:pPr>
      <w:r>
        <w:rPr>
          <w:rFonts w:cs="Calibri" w:ascii="Calibri" w:hAnsi="Calibri" w:asciiTheme="minorHAnsi" w:cstheme="minorHAnsi" w:hAnsiTheme="minorHAnsi"/>
          <w:bCs/>
          <w:sz w:val="24"/>
          <w:szCs w:val="24"/>
          <w:highlight w:val="yellow"/>
        </w:rPr>
        <w:t>[Please check relevance for your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Transferring Personal Data and Communications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all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communications and other transfers involving personal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encrypted using Encryption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emails containing personal data must be marked “confidential”;</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be transmitted over secure networks only; transmission over unsecured networks is not permitted in any circumstances;</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may not be transmitted over a wireless network if there is a wired alternative that is reasonably practicable;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contained in the body of an email, whether sent or received, should be copied from the body of that email and stored securely. The email itself should be deleted. All temporary files associated therewith should also be deleted using deletion software;</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sent by facsimile transmission the recipient should be informed in advance of the transmission and should be waiting by the fax machine to receive the data;</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is to be transferred in hardcopy form it should be passed directly to the recipient or sent using Royal Mail Registered or 1st or 2nd Class Signed For post; and</w:t>
      </w:r>
    </w:p>
    <w:p>
      <w:pPr>
        <w:pStyle w:val="ListParagraph"/>
        <w:widowControl/>
        <w:numPr>
          <w:ilvl w:val="0"/>
          <w:numId w:val="16"/>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to be transferred physically, whether in hardcopy form or on removable electronic media shall be transferred in a suitable container marked “confidential”.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Storage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storage of personal data:</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electronic copies of personal data should be stored securely using passwords and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hardcopies of personal data, along with any electronic copies stored on physical, removable media should be stored securely in a locked box, drawer, cabinet, or similar;</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stored electronically should be backed up at least daily with backups stored onsite. All backups should be encrypted using data encryption’</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stored on any mobile device (including, but not limited to, laptops, tablets, and smartphones), whether such device belongs to the Company or otherwise without the formal written approval of the Data Protection Officer and, in the event of such approval, strictly in accordance with all instructions and limitations described at the time the approval is given, and for no longer than is absolutely necessary; and</w:t>
      </w:r>
    </w:p>
    <w:p>
      <w:pPr>
        <w:pStyle w:val="ListParagraph"/>
        <w:widowControl/>
        <w:numPr>
          <w:ilvl w:val="0"/>
          <w:numId w:val="17"/>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Data Protection Act 2018 (which may include demonstrating to the Company that all suitable technical and organisational measures have been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Disposal</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When any personal data is to be erased or otherwise disposed of for any reason (including where copies have been made and are no longer needed), it should be securely deleted and disposed of.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Use of Personal Data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use of</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shared informally and if an employee, agent, sub-contractor, or other party working on behalf of the Company requires access to any personal data that they do not already have access to, such access should be formally requested from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personal data may be transferred to any employees, agents, contractors, or other parties, whether such parties are working on behalf of the Company or not, without the authorisation of The Data Protection Officer,</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 data must be handled with care at all times and should not be left unattended or on view to unauthorised employees, agents, sub-contractors, or other parties at any time;</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personal data is being viewed on a computer screen and the computer in question is to be left unattended for any period of time, the user must lock the computer and screen before leaving it; and</w:t>
      </w:r>
    </w:p>
    <w:p>
      <w:pPr>
        <w:pStyle w:val="ListParagraph"/>
        <w:widowControl/>
        <w:numPr>
          <w:ilvl w:val="0"/>
          <w:numId w:val="18"/>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personal data held by the Company is used for marketing purposes, it shall be the responsibility of Don E. Holmes III to ensure that the appropriate consent is obtained and that no data subjects have opted out, whether directly or via a third-party service such as the TPS.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Security - IT Security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IT and information security:</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passwords used to protect personal data should be changed regularly and should not use words or phrases that can be easily guessed or otherwise compromised. All passwords must contain a combination of uppercase and lowercase letters, numbers, and symbols;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software (including, but not limited to, applications and operating systems) shall be kept up-to-date. The Company’s IT staff shall be responsible for installing any and all security-related updates after the updates are made available by the publisher or manufacturer, unless there are valid technical reasons not to do so; and </w:t>
      </w:r>
    </w:p>
    <w:p>
      <w:pPr>
        <w:pStyle w:val="ListParagraph"/>
        <w:widowControl/>
        <w:numPr>
          <w:ilvl w:val="0"/>
          <w:numId w:val="19"/>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 software may be installed on any Company-owned computer or device without the prior approval of the Company.</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Organisational Measures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shall ensure that the following measures are taken with respect to the collection, holding, and processing of personal data:</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shall be made fully aware of both their individual responsibilities and the Company’s responsibilities under the Data Protection Act 2018 and under this Policy, and shall be provided with a copy of this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trained to do so;</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appropriately supervised;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Methods of collecting, holding, and processing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held by the Company shall be reviewed periodically, as set out in the Company’s Data Retention Policy;</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performance of those employees, agents, contractors, or other parties working on behalf of the Company handling personal data shall be regularly evaluated and reviewed;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employees, agents, contractors, or other parties working on behalf of the Company handling personal data will be bound to do so in accordance with the principles of the Data Protection Act 2018 and this Policy by contract;</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Data Protection Act 2018; and</w:t>
      </w:r>
    </w:p>
    <w:p>
      <w:pPr>
        <w:pStyle w:val="ListParagraph"/>
        <w:widowControl/>
        <w:numPr>
          <w:ilvl w:val="0"/>
          <w:numId w:val="20"/>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Transferring Personal Data to a Country Outside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Company may from time to time transfer (‘transfer’ includes making available remotely) personal data to countries outside of the EEA.</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of personal data to a country outside of the EEA shall take place only if one or more of the following applies: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territory, or one or more specific sectors in that country (or an international organisation), that the European Commission has determined ensures an adequate level of protection for personal data;</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Data Protection Act 2018); contractual clauses agreed and authorised by the competent supervisory authority; or provisions inserted into administrative arrangements between public authorities or bodies authorised by the competent supervisory authority;</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with the informed consent of the relevant data subject(s);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performance of a contract between the data subject and the Company (or for pre-contractual steps taken at the request of the data subject);</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important public interest reasons;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for the conduct of legal claims;</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necessary to protect the vital interests of the data subject or other individuals where the data subject is physically or legally unable to give their consent; or</w:t>
      </w:r>
    </w:p>
    <w:p>
      <w:pPr>
        <w:pStyle w:val="ListParagraph"/>
        <w:widowControl/>
        <w:numPr>
          <w:ilvl w:val="0"/>
          <w:numId w:val="21"/>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Data Breach Notification</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personal data breaches must be reported immediately to the Company’s Data Protection Officer.</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pPr>
        <w:pStyle w:val="ListParagraph"/>
        <w:widowControl/>
        <w:numPr>
          <w:ilvl w:val="0"/>
          <w:numId w:val="22"/>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Data breach notifications shall include the following information:</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data subjects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categories and approximate number of personal data records concerned;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and contact details of the Company’s data protection officer (or other contact point where more information can be obtained);</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likely consequences of the breach;</w:t>
      </w:r>
    </w:p>
    <w:p>
      <w:pPr>
        <w:pStyle w:val="ListParagraph"/>
        <w:widowControl/>
        <w:numPr>
          <w:ilvl w:val="0"/>
          <w:numId w:val="23"/>
        </w:numPr>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the measures taken, or proposed to be taken, by the Company to address the breach including, where appropriate, measures to mitigate its possible adverse effects.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Name: </w:t>
      </w:r>
      <w:r>
        <w:rPr>
          <w:rFonts w:cs="Calibri" w:ascii="Calibri" w:hAnsi="Calibri" w:asciiTheme="minorHAnsi" w:cstheme="minorHAnsi" w:hAnsiTheme="minorHAnsi"/>
          <w:b/>
          <w:bCs/>
          <w:sz w:val="24"/>
          <w:szCs w:val="24"/>
          <w:highlight w:val="yellow"/>
        </w:rPr>
        <w:t>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Position: </w:t>
      </w:r>
      <w:r>
        <w:rPr>
          <w:rFonts w:cs="Calibri" w:ascii="Calibri" w:hAnsi="Calibri" w:asciiTheme="minorHAnsi" w:cstheme="minorHAnsi" w:hAnsiTheme="minorHAnsi"/>
          <w:b/>
          <w:bCs/>
          <w:sz w:val="24"/>
          <w:szCs w:val="24"/>
          <w:highlight w:val="yellow"/>
        </w:rPr>
        <w:t>Owner</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Date: 0</w:t>
      </w:r>
      <w:r>
        <w:rPr>
          <w:rFonts w:cs="Calibri" w:ascii="Calibri" w:hAnsi="Calibri" w:asciiTheme="minorHAnsi" w:cstheme="minorHAnsi" w:hAnsiTheme="minorHAnsi"/>
          <w:b/>
          <w:bCs/>
          <w:sz w:val="24"/>
          <w:szCs w:val="24"/>
          <w:highlight w:val="yellow"/>
        </w:rPr>
        <w:t>8/</w:t>
      </w:r>
      <w:r>
        <w:rPr>
          <w:rFonts w:cs="Calibri" w:ascii="Calibri" w:hAnsi="Calibri" w:asciiTheme="minorHAnsi" w:cstheme="minorHAnsi" w:hAnsiTheme="minorHAnsi"/>
          <w:b/>
          <w:bCs/>
          <w:sz w:val="24"/>
          <w:szCs w:val="24"/>
          <w:highlight w:val="yellow"/>
        </w:rPr>
        <w:t>13</w:t>
      </w:r>
      <w:r>
        <w:rPr>
          <w:rFonts w:cs="Calibri" w:ascii="Calibri" w:hAnsi="Calibri" w:asciiTheme="minorHAnsi" w:cstheme="minorHAnsi" w:hAnsiTheme="minorHAnsi"/>
          <w:b/>
          <w:bCs/>
          <w:sz w:val="24"/>
          <w:szCs w:val="24"/>
          <w:highlight w:val="yellow"/>
        </w:rPr>
        <w:t>/2024</w:t>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Signature: Don E. Holmes III</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Review of Policy: Y</w:t>
      </w:r>
      <w:r>
        <w:rPr>
          <w:rFonts w:cs="Calibri" w:ascii="Calibri" w:hAnsi="Calibri" w:asciiTheme="minorHAnsi" w:cstheme="minorHAnsi" w:hAnsiTheme="minorHAnsi"/>
          <w:b/>
          <w:bCs/>
          <w:sz w:val="24"/>
          <w:szCs w:val="24"/>
          <w:highlight w:val="yellow"/>
        </w:rPr>
        <w:t>es</w:t>
      </w:r>
    </w:p>
    <w:p>
      <w:pPr>
        <w:pStyle w:val="TextBody"/>
        <w:spacing w:before="93" w:after="0"/>
        <w:ind w:left="200" w:right="125" w:hanging="0"/>
        <w:jc w:val="both"/>
        <w:rPr>
          <w:rFonts w:ascii="Calibri" w:hAnsi="Calibri" w:cs="Calibri" w:asciiTheme="minorHAnsi" w:cstheme="minorHAnsi" w:hAnsiTheme="minorHAnsi"/>
          <w:sz w:val="24"/>
          <w:szCs w:val="24"/>
          <w:lang w:val="en-GB"/>
        </w:rPr>
      </w:pPr>
      <w:r>
        <w:rPr/>
      </w:r>
    </w:p>
    <w:sectPr>
      <w:type w:val="nextPage"/>
      <w:pgSz w:w="11906" w:h="16838"/>
      <w:pgMar w:left="1240" w:right="1320" w:gutter="0" w:header="0" w:top="6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lowerRoman"/>
      <w:lvlText w:val="(%1)"/>
      <w:lvlJc w:val="left"/>
      <w:pPr>
        <w:tabs>
          <w:tab w:val="num" w:pos="0"/>
        </w:tabs>
        <w:ind w:left="1440" w:hanging="72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qFormat/>
    <w:rsid w:val="006833e5"/>
    <w:pPr>
      <w:keepNext w:val="true"/>
      <w:widowControl/>
      <w:jc w:val="center"/>
      <w:outlineLvl w:val="0"/>
    </w:pPr>
    <w:rPr>
      <w:rFonts w:eastAsia="Times New Roman" w:cs="Times New Roman"/>
      <w:b/>
      <w:bCs/>
      <w:sz w:val="28"/>
      <w:szCs w:val="24"/>
      <w:lang w:val="en-GB"/>
    </w:rPr>
  </w:style>
  <w:style w:type="paragraph" w:styleId="Heading2">
    <w:name w:val="Heading 2"/>
    <w:basedOn w:val="Normal"/>
    <w:next w:val="Normal"/>
    <w:link w:val="Heading2Char"/>
    <w:semiHidden/>
    <w:unhideWhenUsed/>
    <w:qFormat/>
    <w:rsid w:val="006833e5"/>
    <w:pPr>
      <w:keepNext w:val="true"/>
      <w:keepLines/>
      <w:widowControl/>
      <w:spacing w:before="200" w:after="0"/>
      <w:outlineLvl w:val="1"/>
    </w:pPr>
    <w:rPr>
      <w:rFonts w:ascii="Cambria" w:hAnsi="Cambria" w:eastAsia="" w:cs="" w:asciiTheme="majorHAnsi" w:cstheme="majorBidi" w:eastAsiaTheme="majorEastAsia" w:hAnsiTheme="majorHAnsi"/>
      <w:b/>
      <w:bCs/>
      <w:color w:val="4F81BD" w:themeColor="accent1"/>
      <w:sz w:val="26"/>
      <w:szCs w:val="26"/>
      <w:lang w:val="en-GB"/>
    </w:rPr>
  </w:style>
  <w:style w:type="paragraph" w:styleId="Heading3">
    <w:name w:val="Heading 3"/>
    <w:basedOn w:val="Normal"/>
    <w:next w:val="Normal"/>
    <w:link w:val="Heading3Char"/>
    <w:semiHidden/>
    <w:unhideWhenUsed/>
    <w:qFormat/>
    <w:rsid w:val="006833e5"/>
    <w:pPr>
      <w:keepNext w:val="true"/>
      <w:keepLines/>
      <w:widowControl/>
      <w:spacing w:before="40" w:after="0"/>
      <w:outlineLvl w:val="2"/>
    </w:pPr>
    <w:rPr>
      <w:rFonts w:ascii="Cambria" w:hAnsi="Cambria" w:eastAsia="" w:cs="" w:asciiTheme="majorHAnsi" w:cstheme="majorBidi" w:eastAsiaTheme="majorEastAsia" w:hAnsiTheme="majorHAnsi"/>
      <w:color w:val="243F60" w:themeColor="accent1" w:themeShade="7f"/>
      <w:sz w:val="24"/>
      <w:szCs w:val="24"/>
      <w:lang w:val="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833e5"/>
    <w:rPr>
      <w:rFonts w:ascii="Arial" w:hAnsi="Arial" w:eastAsia="Times New Roman" w:cs="Times New Roman"/>
      <w:b/>
      <w:bCs/>
      <w:sz w:val="28"/>
      <w:szCs w:val="24"/>
      <w:lang w:val="en-GB"/>
    </w:rPr>
  </w:style>
  <w:style w:type="character" w:styleId="Heading2Char" w:customStyle="1">
    <w:name w:val="Heading 2 Char"/>
    <w:basedOn w:val="DefaultParagraphFont"/>
    <w:link w:val="Heading2"/>
    <w:semiHidden/>
    <w:qFormat/>
    <w:rsid w:val="006833e5"/>
    <w:rPr>
      <w:rFonts w:ascii="Cambria" w:hAnsi="Cambria" w:eastAsia="" w:cs="" w:asciiTheme="majorHAnsi" w:cstheme="majorBidi" w:eastAsiaTheme="majorEastAsia" w:hAnsiTheme="majorHAnsi"/>
      <w:b/>
      <w:bCs/>
      <w:color w:val="4F81BD" w:themeColor="accent1"/>
      <w:sz w:val="26"/>
      <w:szCs w:val="26"/>
      <w:lang w:val="en-GB"/>
    </w:rPr>
  </w:style>
  <w:style w:type="character" w:styleId="Heading3Char" w:customStyle="1">
    <w:name w:val="Heading 3 Char"/>
    <w:basedOn w:val="DefaultParagraphFont"/>
    <w:link w:val="Heading3"/>
    <w:semiHidden/>
    <w:qFormat/>
    <w:rsid w:val="006833e5"/>
    <w:rPr>
      <w:rFonts w:ascii="Cambria" w:hAnsi="Cambria" w:eastAsia="" w:cs="" w:asciiTheme="majorHAnsi" w:cstheme="majorBidi" w:eastAsiaTheme="majorEastAsia" w:hAnsiTheme="majorHAnsi"/>
      <w:color w:val="243F60" w:themeColor="accent1" w:themeShade="7f"/>
      <w:sz w:val="24"/>
      <w:szCs w:val="24"/>
      <w:lang w:val="en-GB"/>
    </w:rPr>
  </w:style>
  <w:style w:type="character" w:styleId="ListParagraphChar" w:customStyle="1">
    <w:name w:val="List Paragraph Char"/>
    <w:basedOn w:val="DefaultParagraphFont"/>
    <w:link w:val="ListParagraph"/>
    <w:uiPriority w:val="34"/>
    <w:qFormat/>
    <w:rsid w:val="006833e5"/>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1"/>
    <w:qFormat/>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link w:val="ListParagraphChar"/>
    <w:uiPriority w:val="34"/>
    <w:qFormat/>
    <w:pPr>
      <w:spacing w:before="13" w:after="0"/>
      <w:ind w:left="728" w:hanging="0"/>
    </w:pPr>
    <w:rPr/>
  </w:style>
  <w:style w:type="paragraph" w:styleId="TableParagraph" w:customStyle="1">
    <w:name w:val="Table Paragraph"/>
    <w:basedOn w:val="Normal"/>
    <w:uiPriority w:val="1"/>
    <w:qFormat/>
    <w:pPr>
      <w:ind w:left="2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LibreOffice/7.5.4.2$Windows_X86_64 LibreOffice_project/36ccfdc35048b057fd9854c757a8b67ec53977b6</Application>
  <AppVersion>15.0000</AppVersion>
  <Pages>10</Pages>
  <Words>4822</Words>
  <Characters>25095</Characters>
  <CharactersWithSpaces>29587</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2022-12-05T12:15:00Z</dcterms:created>
  <dc:creator>Sue Mottershead</dc:creator>
  <dc:description/>
  <dc:language>en-US</dc:language>
  <cp:lastModifiedBy/>
  <dcterms:modified xsi:type="dcterms:W3CDTF">2024-08-13T14:34:24Z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